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中国新闻奖自荐、他荐作品推荐表</w:t>
      </w:r>
    </w:p>
    <w:tbl>
      <w:tblPr>
        <w:tblStyle w:val="10"/>
        <w:tblW w:w="5427" w:type="pct"/>
        <w:tblInd w:w="-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50"/>
        <w:gridCol w:w="354"/>
        <w:gridCol w:w="190"/>
        <w:gridCol w:w="6"/>
        <w:gridCol w:w="720"/>
        <w:gridCol w:w="363"/>
        <w:gridCol w:w="325"/>
        <w:gridCol w:w="969"/>
        <w:gridCol w:w="201"/>
        <w:gridCol w:w="1048"/>
        <w:gridCol w:w="38"/>
        <w:gridCol w:w="1195"/>
        <w:gridCol w:w="192"/>
        <w:gridCol w:w="241"/>
        <w:gridCol w:w="299"/>
        <w:gridCol w:w="346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815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951" w:type="pct"/>
            <w:gridSpan w:val="8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从“差三代”到“全覆盖”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通讯（报纸）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815" w:type="pct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字数/时长</w:t>
            </w:r>
          </w:p>
        </w:tc>
        <w:tc>
          <w:tcPr>
            <w:tcW w:w="1951" w:type="pct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2442字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1368" w:type="pct"/>
            <w:gridSpan w:val="3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5" w:type="pct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951" w:type="pct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136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15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1951" w:type="pct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付毅飞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136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李坤、陈瑜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5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1374" w:type="pct"/>
            <w:gridSpan w:val="6"/>
            <w:vAlign w:val="center"/>
          </w:tcPr>
          <w:p>
            <w:pPr>
              <w:spacing w:line="260" w:lineRule="exact"/>
              <w:ind w:firstLine="4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</w:t>
            </w:r>
          </w:p>
        </w:tc>
        <w:tc>
          <w:tcPr>
            <w:tcW w:w="1441" w:type="pct"/>
            <w:gridSpan w:val="5"/>
            <w:vAlign w:val="center"/>
          </w:tcPr>
          <w:p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1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1368" w:type="pct"/>
            <w:gridSpan w:val="3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15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1374" w:type="pct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要闻版一版</w:t>
            </w:r>
          </w:p>
        </w:tc>
        <w:tc>
          <w:tcPr>
            <w:tcW w:w="576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2233" w:type="pct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818" w:type="pct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highlight w:val="yellow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新媒体作品网址</w:t>
            </w:r>
          </w:p>
        </w:tc>
        <w:tc>
          <w:tcPr>
            <w:tcW w:w="4181" w:type="pct"/>
            <w:gridSpan w:val="13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567" w:type="pct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自荐作品所获奖项名称</w:t>
            </w:r>
          </w:p>
        </w:tc>
        <w:tc>
          <w:tcPr>
            <w:tcW w:w="3432" w:type="pct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2024年科技日报二星稿（相当于报社二等奖）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9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推荐人</w:t>
            </w:r>
          </w:p>
        </w:tc>
        <w:tc>
          <w:tcPr>
            <w:tcW w:w="320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853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firstLine="42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张显峰</w:t>
            </w: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131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中央广播电视总台云听客户端总编辑、高级记者</w:t>
            </w:r>
          </w:p>
        </w:tc>
        <w:tc>
          <w:tcPr>
            <w:tcW w:w="389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20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13520445561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3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2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853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赵振宇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13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华中科技大学新闻与信息传播学院二级教授</w:t>
            </w:r>
          </w:p>
        </w:tc>
        <w:tc>
          <w:tcPr>
            <w:tcW w:w="3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13908644695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93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2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853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罗晖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13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科技日报高级记者</w:t>
            </w:r>
          </w:p>
        </w:tc>
        <w:tc>
          <w:tcPr>
            <w:tcW w:w="3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13801008310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14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自荐人姓名</w:t>
            </w:r>
          </w:p>
        </w:tc>
        <w:tc>
          <w:tcPr>
            <w:tcW w:w="853" w:type="pct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付毅飞</w:t>
            </w:r>
          </w:p>
        </w:tc>
        <w:tc>
          <w:tcPr>
            <w:tcW w:w="515" w:type="pc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1319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13911628012</w:t>
            </w:r>
          </w:p>
        </w:tc>
        <w:tc>
          <w:tcPr>
            <w:tcW w:w="389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01058884075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exact"/>
        </w:trPr>
        <w:tc>
          <w:tcPr>
            <w:tcW w:w="526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4473" w:type="pct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离子注入机是集成电路芯片制造最核心的装备之一。至本世纪初，该设备市场长期被国外垄断，国内产品技术指标与国际先进产品相差三代，在生产规模、可靠性、服务等方面也有很大差距。为突破这一“堵点”，中国电科所属电科装备第四十八研究所于2003年组建离子注入机研制团队，经过20年攻关，成功推动中束流、大束流、高能等全系列离子注入机设备国产化。2024年初，“中国电科实现国产离子注入机28纳米工艺全覆盖”入选“2023年度央企十大国之重器”。为此，记者采访数名团队成员，挖掘创新攻关的过程与细节，探寻他们内心的感受；同时查阅相关知识并消化吸收，以将专业技术讲得通俗易懂。稿件经采编团队精心打磨，发表于头版头条“创新故事”栏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526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4473" w:type="pct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在国产离子注入机实现28纳米工艺全覆盖之际，科技日报记者来到中国电科专访数名亲历者，以研发团队“孤勇出征”、工艺验证的“破釜沉舟” 、产品谱系“多点开花”为主线，讲述鲜为人知的创新故事，呈现国产离子注入机从“差三代”到“全覆盖”的奋斗历程。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稿件刊发后，被学习强国、环球时报、湖南日报等媒体转载，在业界引发关注，并产生积极社会反响。受访对象及所在单位领导对报道予以高度评价，青年科研人员表示，攻关故事激发了他们的荣誉感和使命感。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526" w:type="pct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675" w:type="pct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193" w:type="pct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highlight w:val="none"/>
              </w:rPr>
              <w:t>1</w:t>
            </w:r>
          </w:p>
        </w:tc>
        <w:tc>
          <w:tcPr>
            <w:tcW w:w="3604" w:type="pct"/>
            <w:gridSpan w:val="11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https://mp.weixin.qq.com/s/XO2i_EXnJvxWOB-bcXdDgQ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526" w:type="pct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675" w:type="pct"/>
            <w:gridSpan w:val="4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193" w:type="pct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highlight w:val="none"/>
              </w:rPr>
              <w:t>2</w:t>
            </w:r>
          </w:p>
        </w:tc>
        <w:tc>
          <w:tcPr>
            <w:tcW w:w="3604" w:type="pct"/>
            <w:gridSpan w:val="11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  <w:highlight w:val="yellow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exact"/>
        </w:trPr>
        <w:tc>
          <w:tcPr>
            <w:tcW w:w="526" w:type="pct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675" w:type="pct"/>
            <w:gridSpan w:val="4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193" w:type="pct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highlight w:val="none"/>
              </w:rPr>
              <w:t>3</w:t>
            </w:r>
          </w:p>
        </w:tc>
        <w:tc>
          <w:tcPr>
            <w:tcW w:w="3604" w:type="pct"/>
            <w:gridSpan w:val="11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526" w:type="pct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67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阅读量（浏览量、点击量）</w:t>
            </w:r>
          </w:p>
        </w:tc>
        <w:tc>
          <w:tcPr>
            <w:tcW w:w="987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16"/>
              </w:rPr>
              <w:t>2.0万</w:t>
            </w:r>
          </w:p>
        </w:tc>
        <w:tc>
          <w:tcPr>
            <w:tcW w:w="557" w:type="pct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757" w:type="pct"/>
            <w:gridSpan w:val="3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471" w:type="pct"/>
            <w:gridSpan w:val="3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024" w:type="pct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exact"/>
        </w:trPr>
        <w:tc>
          <w:tcPr>
            <w:tcW w:w="526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荐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理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由</w:t>
            </w:r>
          </w:p>
        </w:tc>
        <w:tc>
          <w:tcPr>
            <w:tcW w:w="4473" w:type="pct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文章聚焦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国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大者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并通过深入采访，对创新历程进行了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立体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呈现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在写作上注重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新闻性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可读性结合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同意推荐。</w:t>
            </w:r>
          </w:p>
          <w:p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2510790</wp:posOffset>
                  </wp:positionH>
                  <wp:positionV relativeFrom="paragraph">
                    <wp:posOffset>36830</wp:posOffset>
                  </wp:positionV>
                  <wp:extent cx="1305560" cy="516890"/>
                  <wp:effectExtent l="0" t="0" r="8890" b="16510"/>
                  <wp:wrapNone/>
                  <wp:docPr id="144408369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08369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3971925</wp:posOffset>
                  </wp:positionH>
                  <wp:positionV relativeFrom="paragraph">
                    <wp:posOffset>47625</wp:posOffset>
                  </wp:positionV>
                  <wp:extent cx="635635" cy="497205"/>
                  <wp:effectExtent l="0" t="0" r="12065" b="17145"/>
                  <wp:wrapNone/>
                  <wp:docPr id="20652332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23321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1343025</wp:posOffset>
                  </wp:positionH>
                  <wp:positionV relativeFrom="page">
                    <wp:posOffset>546735</wp:posOffset>
                  </wp:positionV>
                  <wp:extent cx="1310005" cy="511810"/>
                  <wp:effectExtent l="0" t="0" r="0" b="2540"/>
                  <wp:wrapNone/>
                  <wp:docPr id="102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281" w:firstLineChars="100"/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  <w:t xml:space="preserve">推荐人签名：                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>
            <w:pPr>
              <w:ind w:firstLine="281" w:firstLineChars="100"/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1720850</wp:posOffset>
                  </wp:positionH>
                  <wp:positionV relativeFrom="paragraph">
                    <wp:posOffset>17780</wp:posOffset>
                  </wp:positionV>
                  <wp:extent cx="989965" cy="366395"/>
                  <wp:effectExtent l="0" t="0" r="635" b="14605"/>
                  <wp:wrapSquare wrapText="bothSides"/>
                  <wp:docPr id="1" name="图片 1" descr="3cfc3b9cad9dbaad31e4755bb3b30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fc3b9cad9dbaad31e4755bb3b30a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  <w:t>自荐、他荐人签名：</w:t>
            </w:r>
          </w:p>
          <w:p>
            <w:pPr>
              <w:ind w:firstLine="2016" w:firstLineChars="630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2025年5月6日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7" w:hRule="exact"/>
        </w:trPr>
        <w:tc>
          <w:tcPr>
            <w:tcW w:w="526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审核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4473" w:type="pct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对普通人而言，离子注入机知名度不高，其实它与光刻机等同属芯片制造的核心装备，是真正的国之大者。在国产离子注入机实现28纳米工艺全覆盖之际，科技日报记者来到中国电科专访数名亲历者，深入挖掘鲜为人知的研发故事。文章以研发团队“孤勇出征”、工艺验证“破釜沉舟” 、产品谱系“多点开花”为主线，通过对重要细节的描述、对人物心理的刻画，折射出国产离子注入机20余年跨越发展的艰辛历程，为读者奏响了一曲振奋人心的奋斗凯歌。文章通过报纸、公众号、网站等平台传播，让更多人了解到这一装备、这群人和这段故事，为中国半导体装备自主化的壮阔征程留下了重要见证。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</w:t>
            </w:r>
          </w:p>
          <w:p>
            <w:pPr>
              <w:ind w:firstLine="42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>
            <w:pPr>
              <w:ind w:firstLine="2560" w:firstLineChars="800"/>
              <w:rPr>
                <w:rFonts w:hint="eastAsia" w:ascii="仿宋" w:hAnsi="仿宋" w:eastAsia="仿宋"/>
                <w:color w:val="000000"/>
                <w:w w:val="95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（</w:t>
            </w:r>
            <w:r>
              <w:rPr>
                <w:rFonts w:hint="eastAsia" w:ascii="仿宋_GB2312" w:hAnsi="仿宋"/>
                <w:color w:val="000000"/>
                <w:sz w:val="24"/>
                <w:szCs w:val="18"/>
              </w:rPr>
              <w:t>单位主要负责人签名并加盖单位公章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</w:tc>
      </w:tr>
    </w:tbl>
    <w:p>
      <w:pPr>
        <w:widowControl/>
        <w:jc w:val="left"/>
        <w:rPr>
          <w:rFonts w:hint="eastAsia" w:ascii="楷体" w:hAnsi="楷体" w:eastAsia="楷体"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ascii="仿宋" w:hAnsi="仿宋" w:eastAsia="仿宋"/>
        <w:sz w:val="24"/>
      </w:rPr>
    </w:pPr>
    <w:r>
      <w:rPr>
        <w:rFonts w:ascii="仿宋" w:hAnsi="仿宋" w:eastAsia="仿宋"/>
        <w:sz w:val="24"/>
      </w:rPr>
      <w:fldChar w:fldCharType="begin"/>
    </w:r>
    <w:r>
      <w:rPr>
        <w:rFonts w:ascii="仿宋" w:hAnsi="仿宋" w:eastAsia="仿宋"/>
        <w:sz w:val="24"/>
      </w:rPr>
      <w:instrText xml:space="preserve">PAGE   \* MERGEFORMAT</w:instrText>
    </w:r>
    <w:r>
      <w:rPr>
        <w:rFonts w:ascii="仿宋" w:hAnsi="仿宋" w:eastAsia="仿宋"/>
        <w:sz w:val="24"/>
      </w:rPr>
      <w:fldChar w:fldCharType="separate"/>
    </w:r>
    <w:r>
      <w:rPr>
        <w:rFonts w:ascii="仿宋" w:hAnsi="仿宋" w:eastAsia="仿宋"/>
        <w:sz w:val="24"/>
        <w:lang w:val="zh-CN"/>
      </w:rPr>
      <w:t>-</w:t>
    </w:r>
    <w:r>
      <w:rPr>
        <w:rFonts w:ascii="仿宋" w:hAnsi="仿宋" w:eastAsia="仿宋"/>
        <w:sz w:val="24"/>
      </w:rPr>
      <w:t xml:space="preserve"> 27 -</w:t>
    </w:r>
    <w:r>
      <w:rPr>
        <w:rFonts w:ascii="仿宋" w:hAnsi="仿宋" w:eastAsia="仿宋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仿宋" w:hAnsi="仿宋" w:eastAsia="仿宋"/>
        <w:sz w:val="24"/>
      </w:rPr>
    </w:pPr>
    <w:r>
      <w:rPr>
        <w:rFonts w:ascii="仿宋" w:hAnsi="仿宋" w:eastAsia="仿宋"/>
        <w:sz w:val="24"/>
      </w:rPr>
      <w:fldChar w:fldCharType="begin"/>
    </w:r>
    <w:r>
      <w:rPr>
        <w:rFonts w:ascii="仿宋" w:hAnsi="仿宋" w:eastAsia="仿宋"/>
        <w:sz w:val="24"/>
      </w:rPr>
      <w:instrText xml:space="preserve">PAGE   \* MERGEFORMAT</w:instrText>
    </w:r>
    <w:r>
      <w:rPr>
        <w:rFonts w:ascii="仿宋" w:hAnsi="仿宋" w:eastAsia="仿宋"/>
        <w:sz w:val="24"/>
      </w:rPr>
      <w:fldChar w:fldCharType="separate"/>
    </w:r>
    <w:r>
      <w:rPr>
        <w:rFonts w:ascii="仿宋" w:hAnsi="仿宋" w:eastAsia="仿宋"/>
        <w:sz w:val="24"/>
        <w:lang w:val="zh-CN"/>
      </w:rPr>
      <w:t>-</w:t>
    </w:r>
    <w:r>
      <w:rPr>
        <w:rFonts w:ascii="仿宋" w:hAnsi="仿宋" w:eastAsia="仿宋"/>
        <w:sz w:val="24"/>
      </w:rPr>
      <w:t xml:space="preserve"> 20 -</w:t>
    </w:r>
    <w:r>
      <w:rPr>
        <w:rFonts w:ascii="仿宋" w:hAnsi="仿宋" w:eastAsia="仿宋"/>
        <w:sz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line="320" w:lineRule="exact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F9"/>
    <w:rsid w:val="00024F89"/>
    <w:rsid w:val="00056E17"/>
    <w:rsid w:val="000E427E"/>
    <w:rsid w:val="000E5122"/>
    <w:rsid w:val="001049CC"/>
    <w:rsid w:val="00142F8F"/>
    <w:rsid w:val="00156EE1"/>
    <w:rsid w:val="0018747E"/>
    <w:rsid w:val="002269F2"/>
    <w:rsid w:val="002A7354"/>
    <w:rsid w:val="002D32B9"/>
    <w:rsid w:val="00437F6B"/>
    <w:rsid w:val="005040B5"/>
    <w:rsid w:val="0055473F"/>
    <w:rsid w:val="007708B3"/>
    <w:rsid w:val="00791F34"/>
    <w:rsid w:val="007D54F9"/>
    <w:rsid w:val="009B43BA"/>
    <w:rsid w:val="009C62A3"/>
    <w:rsid w:val="009E4BE3"/>
    <w:rsid w:val="00A6199B"/>
    <w:rsid w:val="00A73901"/>
    <w:rsid w:val="00BA1FBE"/>
    <w:rsid w:val="00C57B79"/>
    <w:rsid w:val="00D5458C"/>
    <w:rsid w:val="00D565C3"/>
    <w:rsid w:val="00D64659"/>
    <w:rsid w:val="1D82168D"/>
    <w:rsid w:val="2D5B38D7"/>
    <w:rsid w:val="35910E9E"/>
    <w:rsid w:val="3B953AD3"/>
    <w:rsid w:val="3C570C12"/>
    <w:rsid w:val="3FEC3007"/>
    <w:rsid w:val="414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99"/>
    <w:pPr>
      <w:jc w:val="left"/>
    </w:pPr>
  </w:style>
  <w:style w:type="paragraph" w:styleId="4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6">
    <w:name w:val="Balloon Text"/>
    <w:basedOn w:val="1"/>
    <w:link w:val="21"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4"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styleId="16">
    <w:name w:val="annotation reference"/>
    <w:basedOn w:val="12"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5"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2"/>
    <w:link w:val="6"/>
    <w:qFormat/>
    <w:uiPriority w:val="99"/>
    <w:rPr>
      <w:rFonts w:ascii="Calibri" w:hAnsi="Calibri" w:eastAsia="仿宋_GB2312"/>
      <w:kern w:val="2"/>
      <w:sz w:val="18"/>
      <w:szCs w:val="18"/>
    </w:rPr>
  </w:style>
  <w:style w:type="paragraph" w:customStyle="1" w:styleId="22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  <w:style w:type="character" w:customStyle="1" w:styleId="23">
    <w:name w:val="批注文字 字符"/>
    <w:basedOn w:val="12"/>
    <w:link w:val="3"/>
    <w:qFormat/>
    <w:uiPriority w:val="99"/>
    <w:rPr>
      <w:rFonts w:ascii="Calibri" w:hAnsi="Calibri" w:eastAsia="仿宋_GB2312" w:cs="宋体"/>
      <w:kern w:val="2"/>
      <w:sz w:val="32"/>
      <w:szCs w:val="22"/>
    </w:rPr>
  </w:style>
  <w:style w:type="character" w:customStyle="1" w:styleId="24">
    <w:name w:val="批注主题 字符"/>
    <w:basedOn w:val="23"/>
    <w:link w:val="9"/>
    <w:qFormat/>
    <w:uiPriority w:val="99"/>
    <w:rPr>
      <w:rFonts w:ascii="Calibri" w:hAnsi="Calibri" w:eastAsia="仿宋_GB2312" w:cs="宋体"/>
      <w:b/>
      <w:bCs/>
      <w:kern w:val="2"/>
      <w:sz w:val="32"/>
      <w:szCs w:val="22"/>
    </w:rPr>
  </w:style>
  <w:style w:type="paragraph" w:customStyle="1" w:styleId="25">
    <w:name w:val="修订1"/>
    <w:qFormat/>
    <w:uiPriority w:val="99"/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character" w:customStyle="1" w:styleId="26">
    <w:name w:val="未处理的提及1"/>
    <w:basedOn w:val="12"/>
    <w:qFormat/>
    <w:uiPriority w:val="99"/>
    <w:rPr>
      <w:color w:val="605E5C"/>
      <w:shd w:val="clear" w:color="auto" w:fill="E1DFDD"/>
    </w:rPr>
  </w:style>
  <w:style w:type="paragraph" w:customStyle="1" w:styleId="27">
    <w:name w:val="修订2"/>
    <w:qFormat/>
    <w:uiPriority w:val="99"/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paragraph" w:customStyle="1" w:styleId="28">
    <w:name w:val="修订3"/>
    <w:qFormat/>
    <w:uiPriority w:val="99"/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character" w:customStyle="1" w:styleId="29">
    <w:name w:val="未处理的提及2"/>
    <w:basedOn w:val="12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1A8D-1935-456D-AD76-13767C2CA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1022</Words>
  <Characters>1697</Characters>
  <Lines>169</Lines>
  <Paragraphs>151</Paragraphs>
  <TotalTime>11</TotalTime>
  <ScaleCrop>false</ScaleCrop>
  <LinksUpToDate>false</LinksUpToDate>
  <CharactersWithSpaces>2568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2025-03-13T08:15:00Z</dcterms:created>
  <dc:creator>wangyongpo</dc:creator>
  <cp:lastModifiedBy>Administrator</cp:lastModifiedBy>
  <cp:lastPrinted>2025-05-07T04:02:00Z</cp:lastPrinted>
  <dcterms:modified xsi:type="dcterms:W3CDTF">2025-05-07T06:45:54Z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eyJoZGlkIjoiZjM2NjBhZTZhMDdhMDJkMjY0NjQzNTVhMmI2MmJmZDgiLCJ1c2VySWQiOiIzMTYyODYzODYifQ==</vt:lpwstr>
  </property>
  <property fmtid="{D5CDD505-2E9C-101B-9397-08002B2CF9AE}" pid="4" name="ICV">
    <vt:lpwstr>1A09AD4F17ED40EDAA864FAC3D279584</vt:lpwstr>
  </property>
</Properties>
</file>