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7AD7A2">
      <w:pPr>
        <w:rPr>
          <w:rFonts w:hint="eastAsia" w:ascii="仿宋" w:hAnsi="仿宋" w:eastAsia="仿宋" w:cs="仿宋"/>
          <w:color w:val="auto"/>
          <w:sz w:val="32"/>
          <w:szCs w:val="32"/>
          <w:shd w:val="clear" w:color="auto" w:fill="auto"/>
          <w:lang w:val="en-US" w:eastAsia="zh-CN"/>
        </w:rPr>
      </w:pPr>
    </w:p>
    <w:p w14:paraId="4D9E5DC7">
      <w:pPr>
        <w:keepNext w:val="0"/>
        <w:keepLines w:val="0"/>
        <w:widowControl/>
        <w:suppressLineNumbers w:val="0"/>
        <w:shd w:val="clear" w:fill="FFFFFF"/>
        <w:ind w:left="0" w:firstLine="0"/>
        <w:jc w:val="center"/>
        <w:rPr>
          <w:rFonts w:hint="eastAsia" w:ascii="仿宋" w:hAnsi="仿宋" w:eastAsia="仿宋" w:cs="仿宋"/>
          <w:b/>
          <w:bCs/>
          <w:i w:val="0"/>
          <w:iCs w:val="0"/>
          <w:caps w:val="0"/>
          <w:color w:val="auto"/>
          <w:spacing w:val="0"/>
          <w:sz w:val="32"/>
          <w:szCs w:val="32"/>
          <w:shd w:val="clear" w:color="auto" w:fill="auto"/>
        </w:rPr>
      </w:pPr>
      <w:r>
        <w:rPr>
          <w:rFonts w:hint="eastAsia" w:ascii="仿宋" w:hAnsi="仿宋" w:eastAsia="仿宋" w:cs="仿宋"/>
          <w:b/>
          <w:bCs/>
          <w:i w:val="0"/>
          <w:iCs w:val="0"/>
          <w:caps w:val="0"/>
          <w:color w:val="auto"/>
          <w:spacing w:val="0"/>
          <w:kern w:val="0"/>
          <w:sz w:val="32"/>
          <w:szCs w:val="32"/>
          <w:shd w:val="clear" w:color="auto" w:fill="auto"/>
          <w:lang w:val="en-US" w:eastAsia="zh-CN" w:bidi="ar"/>
        </w:rPr>
        <w:t>理性看待商业航天探索中遇到的挫折</w:t>
      </w:r>
    </w:p>
    <w:p w14:paraId="58C6A95C">
      <w:pPr>
        <w:pStyle w:val="11"/>
        <w:keepNext w:val="0"/>
        <w:keepLines w:val="0"/>
        <w:widowControl/>
        <w:suppressLineNumbers w:val="0"/>
        <w:spacing w:before="0" w:beforeAutospacing="0" w:after="0" w:afterAutospacing="0"/>
        <w:ind w:left="0" w:right="0"/>
        <w:jc w:val="center"/>
        <w:rPr>
          <w:rFonts w:hint="eastAsia" w:ascii="仿宋" w:hAnsi="仿宋" w:eastAsia="仿宋" w:cs="仿宋"/>
          <w:color w:val="auto"/>
          <w:sz w:val="32"/>
          <w:szCs w:val="32"/>
          <w:shd w:val="clear" w:color="auto" w:fill="auto"/>
        </w:rPr>
      </w:pPr>
      <w:r>
        <w:rPr>
          <w:rFonts w:hint="eastAsia" w:ascii="仿宋" w:hAnsi="仿宋" w:eastAsia="仿宋" w:cs="仿宋"/>
          <w:i w:val="0"/>
          <w:iCs w:val="0"/>
          <w:caps w:val="0"/>
          <w:color w:val="auto"/>
          <w:spacing w:val="0"/>
          <w:sz w:val="32"/>
          <w:szCs w:val="32"/>
          <w:shd w:val="clear" w:color="auto" w:fill="auto"/>
        </w:rPr>
        <w:t>胡定坤</w:t>
      </w:r>
    </w:p>
    <w:p w14:paraId="613D80F4">
      <w:pPr>
        <w:pStyle w:val="11"/>
        <w:keepNext w:val="0"/>
        <w:keepLines w:val="0"/>
        <w:widowControl/>
        <w:suppressLineNumbers w:val="0"/>
        <w:spacing w:before="0" w:beforeAutospacing="0" w:after="0" w:afterAutospacing="0"/>
        <w:ind w:left="0" w:right="0"/>
        <w:jc w:val="both"/>
        <w:rPr>
          <w:rFonts w:hint="eastAsia" w:ascii="宋体" w:hAnsi="宋体" w:eastAsia="宋体" w:cs="宋体"/>
          <w:b/>
          <w:bCs w:val="0"/>
          <w:color w:val="auto"/>
          <w:sz w:val="21"/>
          <w:szCs w:val="21"/>
          <w:shd w:val="clear" w:color="auto" w:fill="auto"/>
        </w:rPr>
      </w:pPr>
      <w:r>
        <w:rPr>
          <w:rFonts w:hint="eastAsia" w:ascii="仿宋" w:hAnsi="仿宋" w:eastAsia="仿宋" w:cs="仿宋"/>
          <w:i w:val="0"/>
          <w:iCs w:val="0"/>
          <w:caps w:val="0"/>
          <w:color w:val="auto"/>
          <w:spacing w:val="0"/>
          <w:sz w:val="32"/>
          <w:szCs w:val="32"/>
          <w:shd w:val="clear" w:color="auto" w:fill="auto"/>
        </w:rPr>
        <w:t>　</w:t>
      </w:r>
      <w:r>
        <w:rPr>
          <w:rFonts w:hint="eastAsia" w:ascii="宋体" w:hAnsi="宋体" w:eastAsia="宋体" w:cs="宋体"/>
          <w:b/>
          <w:bCs w:val="0"/>
          <w:i w:val="0"/>
          <w:iCs w:val="0"/>
          <w:caps w:val="0"/>
          <w:color w:val="auto"/>
          <w:spacing w:val="0"/>
          <w:sz w:val="21"/>
          <w:szCs w:val="21"/>
          <w:shd w:val="clear" w:color="auto" w:fill="auto"/>
        </w:rPr>
        <w:t>　12月3日，蓝箭航天朱雀三号遥一运载火箭在东风商业航天创新试验区发射升空，按程序完成飞行任务，火箭二级进入预定轨道。火箭一子级着陆过程中发生异常燃烧，垂直返回回收试验失败。</w:t>
      </w:r>
    </w:p>
    <w:p w14:paraId="56780104">
      <w:pPr>
        <w:pStyle w:val="11"/>
        <w:keepNext w:val="0"/>
        <w:keepLines w:val="0"/>
        <w:widowControl/>
        <w:suppressLineNumbers w:val="0"/>
        <w:spacing w:before="0" w:beforeAutospacing="0" w:after="0" w:afterAutospacing="0"/>
        <w:ind w:left="0" w:right="0"/>
        <w:jc w:val="both"/>
        <w:rPr>
          <w:rFonts w:hint="eastAsia" w:ascii="宋体" w:hAnsi="宋体" w:eastAsia="宋体" w:cs="宋体"/>
          <w:b/>
          <w:bCs w:val="0"/>
          <w:color w:val="auto"/>
          <w:sz w:val="21"/>
          <w:szCs w:val="21"/>
          <w:shd w:val="clear" w:color="auto" w:fill="auto"/>
        </w:rPr>
      </w:pPr>
      <w:r>
        <w:rPr>
          <w:rFonts w:hint="eastAsia" w:ascii="宋体" w:hAnsi="宋体" w:eastAsia="宋体" w:cs="宋体"/>
          <w:b/>
          <w:bCs w:val="0"/>
          <w:i w:val="0"/>
          <w:iCs w:val="0"/>
          <w:caps w:val="0"/>
          <w:color w:val="auto"/>
          <w:spacing w:val="0"/>
          <w:sz w:val="21"/>
          <w:szCs w:val="21"/>
          <w:shd w:val="clear" w:color="auto" w:fill="auto"/>
        </w:rPr>
        <w:t>　　此次发射是我国首次进行可回收火箭轨道级发射验证。火箭回收难度极高，需要传感器、栅格舵、飞行控制算法、可变推力发动机等软硬件完美配合，很多问题只有在真实飞行试验中才能暴露，进而通过技术迭代改进加以解决。因此，对于这次商业航天探索中遇到的挫折，需以理性态度看待。</w:t>
      </w:r>
    </w:p>
    <w:p w14:paraId="62D80509">
      <w:pPr>
        <w:pStyle w:val="11"/>
        <w:keepNext w:val="0"/>
        <w:keepLines w:val="0"/>
        <w:widowControl/>
        <w:suppressLineNumbers w:val="0"/>
        <w:spacing w:before="0" w:beforeAutospacing="0" w:after="0" w:afterAutospacing="0"/>
        <w:ind w:left="0" w:right="0"/>
        <w:jc w:val="both"/>
        <w:rPr>
          <w:rFonts w:hint="eastAsia" w:ascii="宋体" w:hAnsi="宋体" w:eastAsia="宋体" w:cs="宋体"/>
          <w:b/>
          <w:bCs w:val="0"/>
          <w:color w:val="auto"/>
          <w:sz w:val="21"/>
          <w:szCs w:val="21"/>
          <w:shd w:val="clear" w:color="auto" w:fill="auto"/>
        </w:rPr>
      </w:pPr>
      <w:r>
        <w:rPr>
          <w:rFonts w:hint="eastAsia" w:ascii="宋体" w:hAnsi="宋体" w:eastAsia="宋体" w:cs="宋体"/>
          <w:b/>
          <w:bCs w:val="0"/>
          <w:i w:val="0"/>
          <w:iCs w:val="0"/>
          <w:caps w:val="0"/>
          <w:color w:val="auto"/>
          <w:spacing w:val="0"/>
          <w:sz w:val="21"/>
          <w:szCs w:val="21"/>
          <w:shd w:val="clear" w:color="auto" w:fill="auto"/>
        </w:rPr>
        <w:t>　　纵观全球火箭回收技术发展历史，首次轨道级回收试验成功是奇迹，失败才是常态。美国SpaceX的“猎鹰9”火箭2010年首飞，2013年9月开始尝试轨道级垂直返回回收，至少经历4次失败后，才于2015年12月实现陆上软着陆。之后又经历2次失败，2016年4月才在海上平台回收成功。今年1月，美国“蓝色起源”公司“新格伦”火箭首次轨道级回收试验也以失败告终，11月才首次实现第一级海上回收。</w:t>
      </w:r>
    </w:p>
    <w:p w14:paraId="1F437F12">
      <w:pPr>
        <w:pStyle w:val="11"/>
        <w:keepNext w:val="0"/>
        <w:keepLines w:val="0"/>
        <w:widowControl/>
        <w:suppressLineNumbers w:val="0"/>
        <w:spacing w:before="0" w:beforeAutospacing="0" w:after="0" w:afterAutospacing="0"/>
        <w:ind w:left="0" w:right="0"/>
        <w:jc w:val="both"/>
        <w:rPr>
          <w:rFonts w:hint="eastAsia" w:ascii="宋体" w:hAnsi="宋体" w:eastAsia="宋体" w:cs="宋体"/>
          <w:b/>
          <w:bCs w:val="0"/>
          <w:color w:val="auto"/>
          <w:sz w:val="21"/>
          <w:szCs w:val="21"/>
          <w:shd w:val="clear" w:color="auto" w:fill="auto"/>
        </w:rPr>
      </w:pPr>
      <w:r>
        <w:rPr>
          <w:rFonts w:hint="eastAsia" w:ascii="宋体" w:hAnsi="宋体" w:eastAsia="宋体" w:cs="宋体"/>
          <w:b/>
          <w:bCs w:val="0"/>
          <w:i w:val="0"/>
          <w:iCs w:val="0"/>
          <w:caps w:val="0"/>
          <w:color w:val="auto"/>
          <w:spacing w:val="0"/>
          <w:sz w:val="21"/>
          <w:szCs w:val="21"/>
          <w:shd w:val="clear" w:color="auto" w:fill="auto"/>
        </w:rPr>
        <w:t>　　相比美国，我国商业航天产业起步较晚，技术积累相对薄弱，但商业可回收火箭的研制进展并不慢。SpaceX起步于2002年，13年后才真正掌握火箭回收技术；“蓝色起源”成立于2000年，25年后“新格伦”火箭才回收成功。而蓝箭航天创立于2015年，其研制的朱雀三号与猎鹰9号性能相近，部分设计指标甚至领先，已经进入轨道级回收试验阶段，成绩值得肯定。</w:t>
      </w:r>
    </w:p>
    <w:p w14:paraId="2F296E3F">
      <w:pPr>
        <w:pStyle w:val="11"/>
        <w:keepNext w:val="0"/>
        <w:keepLines w:val="0"/>
        <w:widowControl/>
        <w:suppressLineNumbers w:val="0"/>
        <w:spacing w:before="0" w:beforeAutospacing="0" w:after="0" w:afterAutospacing="0"/>
        <w:ind w:left="0" w:right="0"/>
        <w:jc w:val="both"/>
        <w:rPr>
          <w:rFonts w:hint="eastAsia" w:ascii="宋体" w:hAnsi="宋体" w:eastAsia="宋体" w:cs="宋体"/>
          <w:b/>
          <w:bCs w:val="0"/>
          <w:color w:val="auto"/>
          <w:sz w:val="21"/>
          <w:szCs w:val="21"/>
          <w:shd w:val="clear" w:color="auto" w:fill="auto"/>
        </w:rPr>
      </w:pPr>
      <w:r>
        <w:rPr>
          <w:rFonts w:hint="eastAsia" w:ascii="宋体" w:hAnsi="宋体" w:eastAsia="宋体" w:cs="宋体"/>
          <w:b/>
          <w:bCs w:val="0"/>
          <w:i w:val="0"/>
          <w:iCs w:val="0"/>
          <w:caps w:val="0"/>
          <w:color w:val="auto"/>
          <w:spacing w:val="0"/>
          <w:sz w:val="21"/>
          <w:szCs w:val="21"/>
          <w:shd w:val="clear" w:color="auto" w:fill="auto"/>
        </w:rPr>
        <w:t>　　商业航天是航天国家队的重要补充，具有高效、灵活、低成本、敢于冒险等特点，其发展需要营造敢于面对失败、能够宽容失败的产业氛围。我们看到，朱雀三号垂直回收试验失败后，社交平台里的评论更多是鼓励和包容：“没啥大不了的，失败乃成功之母”“回收技术难度大，相信未来一定能创造历史”……这种客观理性、支持创新的社会氛围，源自公众对商业航天风险的科学认知和对国家科技进步的坚定信心，也为孕育更具突破性的科学发现和技术进步提供了良好社会环境。</w:t>
      </w:r>
    </w:p>
    <w:p w14:paraId="23099256">
      <w:pPr>
        <w:pStyle w:val="11"/>
        <w:keepNext w:val="0"/>
        <w:keepLines w:val="0"/>
        <w:widowControl/>
        <w:suppressLineNumbers w:val="0"/>
        <w:spacing w:before="0" w:beforeAutospacing="0" w:after="0" w:afterAutospacing="0"/>
        <w:ind w:left="0" w:right="0"/>
        <w:jc w:val="both"/>
        <w:rPr>
          <w:rFonts w:hint="eastAsia" w:ascii="宋体" w:hAnsi="宋体" w:eastAsia="宋体" w:cs="宋体"/>
          <w:b/>
          <w:bCs w:val="0"/>
          <w:color w:val="auto"/>
          <w:sz w:val="21"/>
          <w:szCs w:val="21"/>
          <w:shd w:val="clear" w:color="auto" w:fill="auto"/>
        </w:rPr>
      </w:pPr>
      <w:r>
        <w:rPr>
          <w:rFonts w:hint="eastAsia" w:ascii="宋体" w:hAnsi="宋体" w:eastAsia="宋体" w:cs="宋体"/>
          <w:b/>
          <w:bCs w:val="0"/>
          <w:i w:val="0"/>
          <w:iCs w:val="0"/>
          <w:caps w:val="0"/>
          <w:color w:val="auto"/>
          <w:spacing w:val="0"/>
          <w:sz w:val="21"/>
          <w:szCs w:val="21"/>
          <w:shd w:val="clear" w:color="auto" w:fill="auto"/>
        </w:rPr>
        <w:t>　　包容失败的氛围、科学理性的态度，必然能够转化为中国商业航天腾飞的源动力。在不远的将来，我们定能看到中国商业可回收火箭试验的成功，人类探索星辰大海的征程，也会因中国商业航天而更精彩。</w:t>
      </w:r>
    </w:p>
    <w:p w14:paraId="0F0B5DFD">
      <w:pPr>
        <w:jc w:val="right"/>
        <w:rPr>
          <w:rFonts w:hint="eastAsia" w:ascii="宋体" w:hAnsi="宋体" w:eastAsia="宋体" w:cs="宋体"/>
          <w:b/>
          <w:bCs w:val="0"/>
          <w:color w:val="auto"/>
          <w:sz w:val="21"/>
          <w:szCs w:val="21"/>
          <w:shd w:val="clear" w:color="auto" w:fill="auto"/>
          <w:lang w:val="en-US" w:eastAsia="zh-CN"/>
        </w:rPr>
      </w:pPr>
      <w:r>
        <w:rPr>
          <w:rFonts w:hint="eastAsia" w:ascii="宋体" w:hAnsi="宋体" w:eastAsia="宋体" w:cs="宋体"/>
          <w:b/>
          <w:bCs w:val="0"/>
          <w:color w:val="auto"/>
          <w:sz w:val="21"/>
          <w:szCs w:val="21"/>
          <w:shd w:val="clear" w:color="auto" w:fill="auto"/>
          <w:lang w:val="en-US" w:eastAsia="zh-CN"/>
        </w:rPr>
        <w:t>（</w:t>
      </w:r>
      <w:r>
        <w:rPr>
          <w:rFonts w:hint="eastAsia" w:ascii="宋体" w:hAnsi="宋体" w:eastAsia="宋体" w:cs="宋体"/>
          <w:b/>
          <w:bCs w:val="0"/>
          <w:i w:val="0"/>
          <w:iCs w:val="0"/>
          <w:caps w:val="0"/>
          <w:color w:val="auto"/>
          <w:spacing w:val="0"/>
          <w:sz w:val="21"/>
          <w:szCs w:val="21"/>
          <w:shd w:val="clear" w:color="auto" w:fill="auto"/>
        </w:rPr>
        <w:t>2025-12-04  </w:t>
      </w:r>
      <w:bookmarkStart w:id="0" w:name="_GoBack"/>
      <w:bookmarkEnd w:id="0"/>
      <w:r>
        <w:rPr>
          <w:rFonts w:hint="eastAsia" w:ascii="宋体" w:hAnsi="宋体" w:eastAsia="宋体" w:cs="宋体"/>
          <w:b/>
          <w:bCs w:val="0"/>
          <w:i w:val="0"/>
          <w:iCs w:val="0"/>
          <w:caps w:val="0"/>
          <w:color w:val="auto"/>
          <w:spacing w:val="0"/>
          <w:sz w:val="21"/>
          <w:szCs w:val="21"/>
          <w:shd w:val="clear" w:color="auto" w:fill="auto"/>
        </w:rPr>
        <w:t>第02版</w:t>
      </w:r>
      <w:r>
        <w:rPr>
          <w:rFonts w:hint="eastAsia" w:ascii="宋体" w:hAnsi="宋体" w:eastAsia="宋体" w:cs="宋体"/>
          <w:b/>
          <w:bCs w:val="0"/>
          <w:color w:val="auto"/>
          <w:sz w:val="21"/>
          <w:szCs w:val="21"/>
          <w:shd w:val="clear" w:color="auto" w:fill="auto"/>
          <w:lang w:val="en-US"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CC60C3"/>
    <w:rsid w:val="0314419D"/>
    <w:rsid w:val="04612D27"/>
    <w:rsid w:val="05A83F18"/>
    <w:rsid w:val="07EF6488"/>
    <w:rsid w:val="084B6928"/>
    <w:rsid w:val="08847734"/>
    <w:rsid w:val="0AFA6931"/>
    <w:rsid w:val="0B2B0F5F"/>
    <w:rsid w:val="0F214AC3"/>
    <w:rsid w:val="0F612029"/>
    <w:rsid w:val="107560CD"/>
    <w:rsid w:val="11EC29D7"/>
    <w:rsid w:val="123526EB"/>
    <w:rsid w:val="13B660AC"/>
    <w:rsid w:val="13D157AD"/>
    <w:rsid w:val="15641BE0"/>
    <w:rsid w:val="162D35F1"/>
    <w:rsid w:val="1778567D"/>
    <w:rsid w:val="186938B7"/>
    <w:rsid w:val="188B0304"/>
    <w:rsid w:val="199E10FA"/>
    <w:rsid w:val="1FDF4509"/>
    <w:rsid w:val="21326F67"/>
    <w:rsid w:val="235C6750"/>
    <w:rsid w:val="283E129D"/>
    <w:rsid w:val="29ED0187"/>
    <w:rsid w:val="2BCC60C3"/>
    <w:rsid w:val="2C710E56"/>
    <w:rsid w:val="2D771923"/>
    <w:rsid w:val="2DC02787"/>
    <w:rsid w:val="30471E1A"/>
    <w:rsid w:val="319E48F7"/>
    <w:rsid w:val="33EF1298"/>
    <w:rsid w:val="33F6321B"/>
    <w:rsid w:val="34B36604"/>
    <w:rsid w:val="35DB378F"/>
    <w:rsid w:val="369F68A5"/>
    <w:rsid w:val="37247B2D"/>
    <w:rsid w:val="375A7D60"/>
    <w:rsid w:val="38A87E0A"/>
    <w:rsid w:val="399D7D96"/>
    <w:rsid w:val="3ED074F7"/>
    <w:rsid w:val="3FBB2E1C"/>
    <w:rsid w:val="403F7575"/>
    <w:rsid w:val="4186532E"/>
    <w:rsid w:val="43F32E89"/>
    <w:rsid w:val="4469780F"/>
    <w:rsid w:val="44B912D0"/>
    <w:rsid w:val="450B5ED4"/>
    <w:rsid w:val="46D26F40"/>
    <w:rsid w:val="47745A86"/>
    <w:rsid w:val="477770F6"/>
    <w:rsid w:val="47FF71AB"/>
    <w:rsid w:val="4B7B05C8"/>
    <w:rsid w:val="4FCD667C"/>
    <w:rsid w:val="528A6912"/>
    <w:rsid w:val="54975600"/>
    <w:rsid w:val="556B3698"/>
    <w:rsid w:val="582727F1"/>
    <w:rsid w:val="58E949A2"/>
    <w:rsid w:val="59F667CF"/>
    <w:rsid w:val="5A3E219F"/>
    <w:rsid w:val="5D192C76"/>
    <w:rsid w:val="5D5B2317"/>
    <w:rsid w:val="5EA902B4"/>
    <w:rsid w:val="5FC37153"/>
    <w:rsid w:val="611C302E"/>
    <w:rsid w:val="63CE4CAF"/>
    <w:rsid w:val="65D248F6"/>
    <w:rsid w:val="663E515C"/>
    <w:rsid w:val="6CC76D3A"/>
    <w:rsid w:val="6D42384C"/>
    <w:rsid w:val="6F7073BD"/>
    <w:rsid w:val="70F66946"/>
    <w:rsid w:val="71273CC2"/>
    <w:rsid w:val="7535693B"/>
    <w:rsid w:val="75BF5C58"/>
    <w:rsid w:val="76E6322A"/>
    <w:rsid w:val="77D6554B"/>
    <w:rsid w:val="78CB6182"/>
    <w:rsid w:val="7A764C23"/>
    <w:rsid w:val="7BB61468"/>
    <w:rsid w:val="7FC05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line="360" w:lineRule="auto"/>
      <w:ind w:left="0" w:leftChars="0"/>
    </w:pPr>
    <w:rPr>
      <w:rFonts w:ascii="Tahoma" w:hAnsi="Tahoma" w:eastAsia="仿宋" w:cs="Times New Roman"/>
      <w:b/>
      <w:color w:val="000000"/>
      <w:sz w:val="28"/>
      <w:szCs w:val="22"/>
      <w:lang w:val="en-US" w:eastAsia="zh-CN" w:bidi="ar-SA"/>
    </w:rPr>
  </w:style>
  <w:style w:type="paragraph" w:styleId="2">
    <w:name w:val="heading 1"/>
    <w:basedOn w:val="1"/>
    <w:next w:val="1"/>
    <w:link w:val="14"/>
    <w:qFormat/>
    <w:uiPriority w:val="0"/>
    <w:pPr>
      <w:keepNext/>
      <w:keepLines/>
      <w:spacing w:before="50" w:beforeLines="50" w:after="50" w:afterLines="50" w:line="240" w:lineRule="auto"/>
      <w:ind w:firstLine="0" w:firstLineChars="0"/>
      <w:jc w:val="center"/>
      <w:outlineLvl w:val="0"/>
    </w:pPr>
    <w:rPr>
      <w:rFonts w:eastAsia="黑体"/>
      <w:kern w:val="44"/>
      <w:sz w:val="32"/>
      <w:szCs w:val="32"/>
    </w:rPr>
  </w:style>
  <w:style w:type="paragraph" w:styleId="3">
    <w:name w:val="heading 2"/>
    <w:basedOn w:val="1"/>
    <w:next w:val="1"/>
    <w:link w:val="15"/>
    <w:semiHidden/>
    <w:unhideWhenUsed/>
    <w:qFormat/>
    <w:uiPriority w:val="0"/>
    <w:pPr>
      <w:keepNext/>
      <w:keepLines/>
      <w:spacing w:before="50" w:beforeLines="50" w:after="50" w:afterLines="50" w:line="240" w:lineRule="auto"/>
      <w:ind w:firstLine="0" w:firstLineChars="0"/>
      <w:jc w:val="left"/>
      <w:outlineLvl w:val="1"/>
    </w:pPr>
    <w:rPr>
      <w:rFonts w:eastAsia="黑体" w:cs="黑体"/>
      <w:sz w:val="28"/>
      <w:szCs w:val="28"/>
    </w:rPr>
  </w:style>
  <w:style w:type="paragraph" w:styleId="4">
    <w:name w:val="heading 3"/>
    <w:basedOn w:val="1"/>
    <w:next w:val="1"/>
    <w:link w:val="16"/>
    <w:semiHidden/>
    <w:unhideWhenUsed/>
    <w:qFormat/>
    <w:uiPriority w:val="0"/>
    <w:pPr>
      <w:keepNext/>
      <w:keepLines/>
      <w:spacing w:before="50" w:beforeLines="50" w:after="50" w:afterLines="50" w:line="240" w:lineRule="auto"/>
      <w:ind w:firstLine="0" w:firstLineChars="0"/>
      <w:jc w:val="left"/>
      <w:outlineLvl w:val="2"/>
    </w:pPr>
    <w:rPr>
      <w:rFonts w:eastAsia="黑体" w:cs="黑体"/>
      <w:color w:val="auto"/>
      <w:szCs w:val="28"/>
    </w:rPr>
  </w:style>
  <w:style w:type="paragraph" w:styleId="5">
    <w:name w:val="heading 4"/>
    <w:basedOn w:val="1"/>
    <w:next w:val="1"/>
    <w:link w:val="17"/>
    <w:semiHidden/>
    <w:unhideWhenUsed/>
    <w:qFormat/>
    <w:uiPriority w:val="0"/>
    <w:pPr>
      <w:keepNext/>
      <w:keepLines/>
      <w:spacing w:before="50" w:beforeLines="50" w:after="50" w:afterLines="50" w:line="240" w:lineRule="auto"/>
      <w:ind w:firstLine="0" w:firstLineChars="0"/>
      <w:jc w:val="left"/>
      <w:outlineLvl w:val="3"/>
    </w:pPr>
    <w:rPr>
      <w:rFonts w:eastAsia="黑体" w:cstheme="majorBidi"/>
      <w:iCs/>
      <w:color w:val="000000" w:themeColor="text1"/>
      <w14:textFill>
        <w14:solidFill>
          <w14:schemeClr w14:val="tx1"/>
        </w14:solidFill>
      </w14:textFill>
    </w:rPr>
  </w:style>
  <w:style w:type="character" w:default="1" w:styleId="13">
    <w:name w:val="Default Paragraph Font"/>
    <w:semiHidden/>
    <w:unhideWhenUsed/>
    <w:qFormat/>
    <w:uiPriority w:val="1"/>
  </w:style>
  <w:style w:type="table" w:default="1" w:styleId="12">
    <w:name w:val="Normal Table"/>
    <w:semiHidden/>
    <w:qFormat/>
    <w:uiPriority w:val="0"/>
    <w:tblPr>
      <w:tblCellMar>
        <w:top w:w="0" w:type="dxa"/>
        <w:left w:w="108" w:type="dxa"/>
        <w:bottom w:w="0" w:type="dxa"/>
        <w:right w:w="108" w:type="dxa"/>
      </w:tblCellMar>
    </w:tblPr>
  </w:style>
  <w:style w:type="paragraph" w:styleId="6">
    <w:name w:val="footer"/>
    <w:basedOn w:val="1"/>
    <w:link w:val="18"/>
    <w:qFormat/>
    <w:uiPriority w:val="0"/>
    <w:pPr>
      <w:tabs>
        <w:tab w:val="center" w:pos="4153"/>
        <w:tab w:val="right" w:pos="8306"/>
      </w:tabs>
      <w:snapToGrid w:val="0"/>
      <w:jc w:val="center"/>
    </w:pPr>
    <w:rPr>
      <w:sz w:val="21"/>
      <w:szCs w:val="21"/>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rFonts w:ascii="Times New Roman" w:hAnsi="Times New Roman" w:eastAsia="宋体"/>
      <w:sz w:val="18"/>
      <w:szCs w:val="18"/>
    </w:rPr>
  </w:style>
  <w:style w:type="paragraph" w:styleId="8">
    <w:name w:val="footnote text"/>
    <w:basedOn w:val="1"/>
    <w:qFormat/>
    <w:uiPriority w:val="0"/>
    <w:pPr>
      <w:snapToGrid w:val="0"/>
      <w:jc w:val="left"/>
    </w:pPr>
    <w:rPr>
      <w:rFonts w:ascii="Times New Roman" w:hAnsi="Times New Roman" w:eastAsia="宋体"/>
      <w:color w:val="4874CB" w:themeColor="accent1"/>
      <w:sz w:val="18"/>
      <w14:textFill>
        <w14:solidFill>
          <w14:schemeClr w14:val="accent1"/>
        </w14:solidFill>
      </w14:textFill>
    </w:rPr>
  </w:style>
  <w:style w:type="paragraph" w:styleId="9">
    <w:name w:val="table of figures"/>
    <w:basedOn w:val="1"/>
    <w:next w:val="1"/>
    <w:qFormat/>
    <w:uiPriority w:val="0"/>
    <w:pPr>
      <w:spacing w:before="120" w:after="240" w:line="240" w:lineRule="auto"/>
      <w:ind w:left="737" w:hanging="737"/>
      <w:jc w:val="center"/>
    </w:pPr>
    <w:rPr>
      <w:rFonts w:ascii="Times New Roman" w:hAnsi="Times New Roman" w:eastAsia="宋体"/>
      <w:sz w:val="21"/>
    </w:rPr>
  </w:style>
  <w:style w:type="paragraph" w:styleId="10">
    <w:name w:val="toc 2"/>
    <w:basedOn w:val="1"/>
    <w:next w:val="1"/>
    <w:qFormat/>
    <w:uiPriority w:val="0"/>
    <w:pPr>
      <w:tabs>
        <w:tab w:val="right" w:leader="dot" w:pos="9060"/>
      </w:tabs>
      <w:spacing w:before="240" w:after="120" w:line="240" w:lineRule="auto"/>
      <w:ind w:left="0" w:leftChars="0"/>
      <w:jc w:val="center"/>
    </w:pPr>
    <w:rPr>
      <w:rFonts w:ascii="Times New Roman" w:hAnsi="Times New Roman" w:eastAsia="宋体"/>
      <w:sz w:val="21"/>
    </w:rPr>
  </w:style>
  <w:style w:type="paragraph" w:styleId="11">
    <w:name w:val="Normal (Web)"/>
    <w:basedOn w:val="1"/>
    <w:qFormat/>
    <w:uiPriority w:val="0"/>
    <w:pPr>
      <w:spacing w:before="0" w:beforeAutospacing="1" w:after="0" w:afterAutospacing="1"/>
      <w:ind w:left="0" w:right="0"/>
      <w:jc w:val="left"/>
    </w:pPr>
    <w:rPr>
      <w:rFonts w:ascii="Times New Roman" w:hAnsi="Times New Roman" w:eastAsia="宋体"/>
      <w:kern w:val="0"/>
      <w:sz w:val="21"/>
      <w:lang w:val="en-US" w:eastAsia="zh-CN" w:bidi="ar"/>
    </w:rPr>
  </w:style>
  <w:style w:type="character" w:customStyle="1" w:styleId="14">
    <w:name w:val="标题 1 Char"/>
    <w:link w:val="2"/>
    <w:qFormat/>
    <w:uiPriority w:val="0"/>
    <w:rPr>
      <w:rFonts w:ascii="Times New Roman" w:hAnsi="Times New Roman" w:eastAsia="黑体" w:cstheme="minorBidi"/>
      <w:kern w:val="44"/>
      <w:sz w:val="32"/>
    </w:rPr>
  </w:style>
  <w:style w:type="character" w:customStyle="1" w:styleId="15">
    <w:name w:val="标题 2 字符"/>
    <w:link w:val="3"/>
    <w:qFormat/>
    <w:uiPriority w:val="9"/>
    <w:rPr>
      <w:rFonts w:ascii="Times New Roman" w:hAnsi="Times New Roman" w:eastAsia="黑体" w:cs="黑体"/>
      <w:kern w:val="2"/>
      <w:sz w:val="28"/>
      <w:szCs w:val="28"/>
      <w:lang w:val="en-US" w:eastAsia="zh-CN" w:bidi="ar-SA"/>
    </w:rPr>
  </w:style>
  <w:style w:type="character" w:customStyle="1" w:styleId="16">
    <w:name w:val="标题 3 字符"/>
    <w:link w:val="4"/>
    <w:qFormat/>
    <w:uiPriority w:val="9"/>
    <w:rPr>
      <w:rFonts w:ascii="Times New Roman" w:hAnsi="Times New Roman" w:eastAsia="黑体" w:cs="黑体"/>
      <w:color w:val="auto"/>
      <w:kern w:val="2"/>
      <w:sz w:val="24"/>
      <w:szCs w:val="28"/>
      <w:lang w:val="en-US" w:eastAsia="zh-CN" w:bidi="ar-SA"/>
    </w:rPr>
  </w:style>
  <w:style w:type="character" w:customStyle="1" w:styleId="17">
    <w:name w:val="标题 4 字符"/>
    <w:basedOn w:val="13"/>
    <w:link w:val="5"/>
    <w:semiHidden/>
    <w:qFormat/>
    <w:uiPriority w:val="9"/>
    <w:rPr>
      <w:rFonts w:ascii="Times New Roman" w:hAnsi="Times New Roman" w:eastAsia="黑体" w:cstheme="majorBidi"/>
      <w:iCs/>
      <w:color w:val="000000" w:themeColor="text1"/>
      <w14:textFill>
        <w14:solidFill>
          <w14:schemeClr w14:val="tx1"/>
        </w14:solidFill>
      </w14:textFill>
    </w:rPr>
  </w:style>
  <w:style w:type="character" w:customStyle="1" w:styleId="18">
    <w:name w:val="页脚 字符"/>
    <w:basedOn w:val="13"/>
    <w:link w:val="6"/>
    <w:qFormat/>
    <w:uiPriority w:val="99"/>
    <w:rPr>
      <w:rFonts w:eastAsia="宋体"/>
      <w:sz w:val="21"/>
      <w:szCs w:val="21"/>
    </w:rPr>
  </w:style>
  <w:style w:type="character" w:customStyle="1" w:styleId="19">
    <w:name w:val="页眉 字符"/>
    <w:basedOn w:val="13"/>
    <w:link w:val="7"/>
    <w:qFormat/>
    <w:uiPriority w:val="99"/>
    <w:rPr>
      <w:rFonts w:ascii="Times New Roman" w:hAnsi="Times New Roman" w:eastAsia="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870</Words>
  <Characters>916</Characters>
  <Lines>0</Lines>
  <Paragraphs>0</Paragraphs>
  <TotalTime>82</TotalTime>
  <ScaleCrop>false</ScaleCrop>
  <LinksUpToDate>false</LinksUpToDate>
  <CharactersWithSpaces>933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2026-04-15T06:14:00Z</dcterms:created>
  <dc:creator>微信用户</dc:creator>
  <cp:lastModifiedBy>Administrator</cp:lastModifiedBy>
  <dcterms:modified xsi:type="dcterms:W3CDTF">2026-04-20T01:30:24Z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AFB958E14F2446A2A41A4F890DF02F5C_11</vt:lpwstr>
  </property>
  <property fmtid="{D5CDD505-2E9C-101B-9397-08002B2CF9AE}" pid="4" name="KSOTemplateDocerSaveRecord">
    <vt:lpwstr>eyJoZGlkIjoiZThmMzUxZjI0MjUzNTBjMmQ0MzZlMTQ3MzA1MzJmMGYifQ==</vt:lpwstr>
  </property>
</Properties>
</file>